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60F4" w14:textId="6159021C" w:rsidR="00A27CC1" w:rsidRPr="005816C4" w:rsidRDefault="00A27CC1" w:rsidP="00A27CC1">
      <w:pPr>
        <w:spacing w:line="360" w:lineRule="exact"/>
        <w:jc w:val="center"/>
        <w:rPr>
          <w:rFonts w:ascii="游ゴシック Medium" w:eastAsia="游ゴシック Medium" w:hAnsi="游ゴシック Medium"/>
          <w:sz w:val="28"/>
          <w:szCs w:val="28"/>
        </w:rPr>
      </w:pPr>
      <w:r w:rsidRPr="005816C4">
        <w:rPr>
          <w:rFonts w:ascii="游ゴシック Medium" w:eastAsia="游ゴシック Medium" w:hAnsi="游ゴシック Medium" w:hint="eastAsia"/>
          <w:sz w:val="28"/>
          <w:szCs w:val="28"/>
        </w:rPr>
        <w:t>令和7年度</w:t>
      </w:r>
      <w:r w:rsidRPr="005816C4">
        <w:rPr>
          <w:rFonts w:ascii="游ゴシック Medium" w:eastAsia="游ゴシック Medium" w:hAnsi="游ゴシック Medium"/>
          <w:sz w:val="28"/>
          <w:szCs w:val="28"/>
        </w:rPr>
        <w:t xml:space="preserve"> </w:t>
      </w:r>
      <w:r w:rsidRPr="005816C4">
        <w:rPr>
          <w:rFonts w:ascii="游ゴシック Medium" w:eastAsia="游ゴシック Medium" w:hAnsi="游ゴシック Medium" w:hint="eastAsia"/>
          <w:sz w:val="28"/>
          <w:szCs w:val="28"/>
        </w:rPr>
        <w:t>アルミ産業成長力強化戦略推進事業</w:t>
      </w:r>
    </w:p>
    <w:p w14:paraId="7E084B60" w14:textId="1AFFBD6B" w:rsidR="00B51182" w:rsidRPr="00A27CC1" w:rsidRDefault="00B51182" w:rsidP="00B51182">
      <w:pPr>
        <w:spacing w:line="360" w:lineRule="exact"/>
        <w:jc w:val="center"/>
        <w:rPr>
          <w:rFonts w:asciiTheme="majorEastAsia" w:eastAsiaTheme="majorEastAsia" w:hAnsiTheme="majorEastAsia"/>
          <w:sz w:val="32"/>
          <w:szCs w:val="32"/>
        </w:rPr>
      </w:pPr>
      <w:r w:rsidRPr="00A27CC1">
        <w:rPr>
          <w:rFonts w:asciiTheme="majorEastAsia" w:eastAsiaTheme="majorEastAsia" w:hAnsiTheme="majorEastAsia" w:hint="eastAsia"/>
          <w:b/>
          <w:sz w:val="28"/>
          <w:szCs w:val="28"/>
        </w:rPr>
        <w:t>アルミ循環配慮事業</w:t>
      </w:r>
      <w:r w:rsidR="00CA3FB8">
        <w:rPr>
          <w:rFonts w:asciiTheme="majorEastAsia" w:eastAsiaTheme="majorEastAsia" w:hAnsiTheme="majorEastAsia" w:hint="eastAsia"/>
          <w:b/>
          <w:sz w:val="28"/>
          <w:szCs w:val="28"/>
        </w:rPr>
        <w:t>費</w:t>
      </w:r>
      <w:r w:rsidRPr="00A27CC1">
        <w:rPr>
          <w:rFonts w:asciiTheme="majorEastAsia" w:eastAsiaTheme="majorEastAsia" w:hAnsiTheme="majorEastAsia" w:hint="eastAsia"/>
          <w:b/>
          <w:sz w:val="28"/>
          <w:szCs w:val="28"/>
        </w:rPr>
        <w:t>補助金</w:t>
      </w:r>
      <w:r w:rsidR="00A27CC1">
        <w:rPr>
          <w:rFonts w:ascii="游ゴシック Medium" w:eastAsia="游ゴシック Medium" w:hAnsi="游ゴシック Medium" w:hint="eastAsia"/>
          <w:sz w:val="28"/>
          <w:szCs w:val="28"/>
        </w:rPr>
        <w:t>の</w:t>
      </w:r>
      <w:r w:rsidR="00A27CC1" w:rsidRPr="005816C4">
        <w:rPr>
          <w:rFonts w:ascii="游ゴシック Medium" w:eastAsia="游ゴシック Medium" w:hAnsi="游ゴシック Medium" w:hint="eastAsia"/>
          <w:sz w:val="28"/>
          <w:szCs w:val="28"/>
        </w:rPr>
        <w:t>募集について</w:t>
      </w:r>
    </w:p>
    <w:p w14:paraId="1F409C4F" w14:textId="77777777" w:rsidR="00B51182" w:rsidRDefault="00B51182" w:rsidP="00B51182">
      <w:pPr>
        <w:spacing w:line="360" w:lineRule="exact"/>
        <w:rPr>
          <w:sz w:val="32"/>
          <w:szCs w:val="32"/>
        </w:rPr>
      </w:pPr>
    </w:p>
    <w:p w14:paraId="38AAA967" w14:textId="77777777" w:rsidR="00A21639" w:rsidRPr="00931BDC" w:rsidRDefault="00A21639" w:rsidP="003E53C6">
      <w:pPr>
        <w:pStyle w:val="aa"/>
        <w:numPr>
          <w:ilvl w:val="0"/>
          <w:numId w:val="1"/>
        </w:numPr>
        <w:snapToGrid w:val="0"/>
        <w:ind w:leftChars="0"/>
        <w:rPr>
          <w:rFonts w:eastAsiaTheme="minorHAnsi"/>
          <w:b/>
          <w:color w:val="202429"/>
          <w:sz w:val="24"/>
          <w:szCs w:val="24"/>
          <w:u w:val="single"/>
        </w:rPr>
      </w:pPr>
      <w:r w:rsidRPr="00931BDC">
        <w:rPr>
          <w:rFonts w:eastAsiaTheme="minorHAnsi" w:hint="eastAsia"/>
          <w:b/>
          <w:color w:val="202429"/>
          <w:sz w:val="24"/>
          <w:szCs w:val="24"/>
          <w:u w:val="single"/>
        </w:rPr>
        <w:t>事業の目的</w:t>
      </w:r>
    </w:p>
    <w:p w14:paraId="06319D07" w14:textId="3D96CCAF" w:rsidR="00A21639" w:rsidRPr="00027630" w:rsidRDefault="00A21639" w:rsidP="002E563F">
      <w:pPr>
        <w:snapToGrid w:val="0"/>
        <w:spacing w:line="320" w:lineRule="exact"/>
        <w:ind w:firstLineChars="100" w:firstLine="240"/>
        <w:rPr>
          <w:rFonts w:eastAsiaTheme="minorHAnsi"/>
          <w:color w:val="202429"/>
          <w:sz w:val="24"/>
          <w:szCs w:val="24"/>
        </w:rPr>
      </w:pPr>
      <w:r w:rsidRPr="00027630">
        <w:rPr>
          <w:rFonts w:eastAsiaTheme="minorHAnsi" w:hint="eastAsia"/>
          <w:color w:val="202429"/>
          <w:sz w:val="24"/>
          <w:szCs w:val="24"/>
        </w:rPr>
        <w:t>本事業は、アルミ関連産業における</w:t>
      </w:r>
      <w:r w:rsidR="00BD38B3">
        <w:rPr>
          <w:rFonts w:eastAsiaTheme="minorHAnsi" w:hint="eastAsia"/>
          <w:color w:val="202429"/>
          <w:sz w:val="24"/>
          <w:szCs w:val="24"/>
        </w:rPr>
        <w:t>サーキュラーエコノミーへの移行による競争力強化に向け、</w:t>
      </w:r>
      <w:r w:rsidR="00281EFB" w:rsidRPr="00281EFB">
        <w:rPr>
          <w:rFonts w:eastAsiaTheme="minorHAnsi" w:hint="eastAsia"/>
          <w:color w:val="202429"/>
          <w:sz w:val="24"/>
          <w:szCs w:val="24"/>
        </w:rPr>
        <w:t>設計段階からリサイクルされることが配慮された製品の製造技術やアルミのリサイクル技術の高度化</w:t>
      </w:r>
      <w:r w:rsidR="00DA598A">
        <w:rPr>
          <w:rFonts w:eastAsiaTheme="minorHAnsi" w:hint="eastAsia"/>
          <w:color w:val="202429"/>
          <w:sz w:val="24"/>
          <w:szCs w:val="24"/>
        </w:rPr>
        <w:t>等</w:t>
      </w:r>
      <w:r w:rsidR="00281EFB" w:rsidRPr="00281EFB">
        <w:rPr>
          <w:rFonts w:eastAsiaTheme="minorHAnsi" w:hint="eastAsia"/>
          <w:color w:val="202429"/>
          <w:sz w:val="24"/>
          <w:szCs w:val="24"/>
        </w:rPr>
        <w:t>に必要な研究開発等を支援することを目的とします。</w:t>
      </w:r>
    </w:p>
    <w:p w14:paraId="3861C965" w14:textId="77777777" w:rsidR="00A21639" w:rsidRPr="009C7D48" w:rsidRDefault="00A21639" w:rsidP="00A21639">
      <w:pPr>
        <w:snapToGrid w:val="0"/>
        <w:rPr>
          <w:rFonts w:eastAsiaTheme="minorHAnsi"/>
          <w:sz w:val="24"/>
          <w:szCs w:val="24"/>
        </w:rPr>
      </w:pPr>
    </w:p>
    <w:p w14:paraId="1A77F5D8" w14:textId="77777777" w:rsidR="00A21639" w:rsidRPr="00931BDC" w:rsidRDefault="00A21639" w:rsidP="003E53C6">
      <w:pPr>
        <w:pStyle w:val="aa"/>
        <w:numPr>
          <w:ilvl w:val="0"/>
          <w:numId w:val="1"/>
        </w:numPr>
        <w:snapToGrid w:val="0"/>
        <w:spacing w:line="320" w:lineRule="exact"/>
        <w:ind w:leftChars="0"/>
        <w:rPr>
          <w:rFonts w:eastAsiaTheme="minorHAnsi"/>
          <w:b/>
          <w:sz w:val="24"/>
          <w:szCs w:val="24"/>
          <w:u w:val="single"/>
        </w:rPr>
      </w:pPr>
      <w:r w:rsidRPr="00931BDC">
        <w:rPr>
          <w:rFonts w:eastAsiaTheme="minorHAnsi" w:hint="eastAsia"/>
          <w:b/>
          <w:sz w:val="24"/>
          <w:szCs w:val="24"/>
          <w:u w:val="single"/>
        </w:rPr>
        <w:t>補助対象事業</w:t>
      </w:r>
    </w:p>
    <w:p w14:paraId="3336C9F5" w14:textId="659AFAC9" w:rsidR="008239E1" w:rsidRDefault="00281EFB" w:rsidP="008239E1">
      <w:pPr>
        <w:pStyle w:val="a3"/>
        <w:spacing w:line="320" w:lineRule="exact"/>
        <w:ind w:firstLineChars="100" w:firstLine="240"/>
        <w:rPr>
          <w:rFonts w:asciiTheme="minorHAnsi" w:eastAsiaTheme="minorHAnsi" w:hAnsiTheme="minorHAnsi"/>
          <w:color w:val="000000" w:themeColor="text1"/>
          <w:szCs w:val="24"/>
        </w:rPr>
      </w:pPr>
      <w:r w:rsidRPr="00281EFB">
        <w:rPr>
          <w:rFonts w:asciiTheme="minorHAnsi" w:eastAsiaTheme="minorHAnsi" w:hAnsiTheme="minorHAnsi" w:hint="eastAsia"/>
          <w:color w:val="000000" w:themeColor="text1"/>
          <w:szCs w:val="24"/>
        </w:rPr>
        <w:t>アルミ関連産業における、設計段階からリサイクルされることが配慮された製品の製造技術やアルミのリサイクル技術の高度化</w:t>
      </w:r>
      <w:r w:rsidR="00DA598A">
        <w:rPr>
          <w:rFonts w:asciiTheme="minorHAnsi" w:eastAsiaTheme="minorHAnsi" w:hAnsiTheme="minorHAnsi" w:hint="eastAsia"/>
          <w:color w:val="000000" w:themeColor="text1"/>
          <w:szCs w:val="24"/>
        </w:rPr>
        <w:t>等</w:t>
      </w:r>
      <w:r w:rsidRPr="00281EFB">
        <w:rPr>
          <w:rFonts w:asciiTheme="minorHAnsi" w:eastAsiaTheme="minorHAnsi" w:hAnsiTheme="minorHAnsi" w:hint="eastAsia"/>
          <w:color w:val="000000" w:themeColor="text1"/>
          <w:szCs w:val="24"/>
        </w:rPr>
        <w:t>に必要な研究開発等とします。</w:t>
      </w:r>
    </w:p>
    <w:p w14:paraId="50BEA1B6" w14:textId="7B3B7650" w:rsidR="00A21639" w:rsidRPr="00952918" w:rsidRDefault="003E53C6" w:rsidP="008239E1">
      <w:pPr>
        <w:pStyle w:val="a3"/>
        <w:spacing w:line="320" w:lineRule="exact"/>
        <w:ind w:firstLineChars="100" w:firstLine="241"/>
        <w:rPr>
          <w:rFonts w:ascii="ＭＳ 明朝" w:hAnsi="ＭＳ 明朝"/>
          <w:b/>
          <w:color w:val="000000" w:themeColor="text1"/>
        </w:rPr>
      </w:pPr>
      <w:r>
        <w:rPr>
          <w:rFonts w:ascii="ＭＳ 明朝" w:hAnsi="ＭＳ 明朝"/>
          <w:b/>
          <w:noProof/>
          <w:color w:val="000000" w:themeColor="text1"/>
        </w:rPr>
        <w:drawing>
          <wp:inline distT="0" distB="0" distL="0" distR="0" wp14:anchorId="4A6A5491" wp14:editId="6C3B0BB3">
            <wp:extent cx="2362200" cy="2362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p w14:paraId="3C4EA3A0" w14:textId="77777777" w:rsidR="00A21639" w:rsidRDefault="00A21639" w:rsidP="00A21639">
      <w:pPr>
        <w:spacing w:line="320" w:lineRule="exact"/>
        <w:rPr>
          <w:sz w:val="24"/>
          <w:szCs w:val="24"/>
        </w:rPr>
      </w:pPr>
    </w:p>
    <w:tbl>
      <w:tblPr>
        <w:tblStyle w:val="a5"/>
        <w:tblW w:w="0" w:type="auto"/>
        <w:jc w:val="center"/>
        <w:tblLook w:val="04A0" w:firstRow="1" w:lastRow="0" w:firstColumn="1" w:lastColumn="0" w:noHBand="0" w:noVBand="1"/>
      </w:tblPr>
      <w:tblGrid>
        <w:gridCol w:w="2122"/>
        <w:gridCol w:w="6372"/>
      </w:tblGrid>
      <w:tr w:rsidR="00A21639" w14:paraId="6DCC966E" w14:textId="77777777" w:rsidTr="003E53C6">
        <w:trPr>
          <w:jc w:val="center"/>
        </w:trPr>
        <w:tc>
          <w:tcPr>
            <w:tcW w:w="2122" w:type="dxa"/>
          </w:tcPr>
          <w:p w14:paraId="2FE8092B" w14:textId="77777777" w:rsidR="00A21639" w:rsidRPr="00C807CE" w:rsidRDefault="00A21639" w:rsidP="001569F6">
            <w:pPr>
              <w:spacing w:line="600" w:lineRule="auto"/>
              <w:jc w:val="distribute"/>
              <w:rPr>
                <w:rFonts w:eastAsiaTheme="minorHAnsi"/>
                <w:sz w:val="24"/>
                <w:szCs w:val="24"/>
              </w:rPr>
            </w:pPr>
            <w:r w:rsidRPr="00C807CE">
              <w:rPr>
                <w:rFonts w:eastAsiaTheme="minorHAnsi" w:hint="eastAsia"/>
                <w:sz w:val="24"/>
                <w:szCs w:val="24"/>
              </w:rPr>
              <w:t>補助対象者</w:t>
            </w:r>
          </w:p>
        </w:tc>
        <w:tc>
          <w:tcPr>
            <w:tcW w:w="6372" w:type="dxa"/>
            <w:vAlign w:val="center"/>
          </w:tcPr>
          <w:p w14:paraId="73B47A81" w14:textId="4A0643A4" w:rsidR="00A21639" w:rsidRPr="00391017" w:rsidRDefault="00A21639" w:rsidP="001569F6">
            <w:pPr>
              <w:spacing w:line="320" w:lineRule="exact"/>
              <w:rPr>
                <w:rFonts w:eastAsiaTheme="minorHAnsi"/>
                <w:sz w:val="24"/>
                <w:szCs w:val="24"/>
              </w:rPr>
            </w:pPr>
            <w:r w:rsidRPr="00391017">
              <w:rPr>
                <w:rFonts w:eastAsiaTheme="minorHAnsi" w:hint="eastAsia"/>
                <w:color w:val="000000" w:themeColor="text1"/>
                <w:sz w:val="24"/>
                <w:szCs w:val="24"/>
              </w:rPr>
              <w:t>県内企業（県内に事業所を有する企業）</w:t>
            </w:r>
          </w:p>
        </w:tc>
      </w:tr>
      <w:tr w:rsidR="00A21639" w14:paraId="6ED083AD" w14:textId="77777777" w:rsidTr="001569F6">
        <w:trPr>
          <w:trHeight w:val="363"/>
          <w:jc w:val="center"/>
        </w:trPr>
        <w:tc>
          <w:tcPr>
            <w:tcW w:w="2122" w:type="dxa"/>
          </w:tcPr>
          <w:p w14:paraId="5CB3E5A2" w14:textId="77777777" w:rsidR="00A21639" w:rsidRPr="00C807CE" w:rsidRDefault="00A21639" w:rsidP="001569F6">
            <w:pPr>
              <w:jc w:val="distribute"/>
              <w:rPr>
                <w:rFonts w:eastAsiaTheme="minorHAnsi"/>
                <w:sz w:val="24"/>
                <w:szCs w:val="24"/>
              </w:rPr>
            </w:pPr>
            <w:r w:rsidRPr="00C807CE">
              <w:rPr>
                <w:rFonts w:eastAsiaTheme="minorHAnsi" w:hint="eastAsia"/>
                <w:sz w:val="24"/>
                <w:szCs w:val="24"/>
              </w:rPr>
              <w:t>補助上限額</w:t>
            </w:r>
          </w:p>
        </w:tc>
        <w:tc>
          <w:tcPr>
            <w:tcW w:w="6372" w:type="dxa"/>
          </w:tcPr>
          <w:p w14:paraId="7C7D5270" w14:textId="77777777" w:rsidR="00A21639" w:rsidRDefault="00A21639" w:rsidP="001569F6">
            <w:pPr>
              <w:rPr>
                <w:sz w:val="24"/>
                <w:szCs w:val="24"/>
              </w:rPr>
            </w:pPr>
            <w:r>
              <w:rPr>
                <w:rFonts w:hint="eastAsia"/>
                <w:sz w:val="24"/>
                <w:szCs w:val="24"/>
              </w:rPr>
              <w:t>5００万円／年</w:t>
            </w:r>
          </w:p>
        </w:tc>
      </w:tr>
      <w:tr w:rsidR="00A21639" w14:paraId="5EF198F9" w14:textId="77777777" w:rsidTr="00F77F5C">
        <w:trPr>
          <w:trHeight w:val="1195"/>
          <w:jc w:val="center"/>
        </w:trPr>
        <w:tc>
          <w:tcPr>
            <w:tcW w:w="2122" w:type="dxa"/>
          </w:tcPr>
          <w:p w14:paraId="505880C1" w14:textId="77777777" w:rsidR="00A21639" w:rsidRPr="00C807CE" w:rsidRDefault="00A21639" w:rsidP="001569F6">
            <w:pPr>
              <w:spacing w:line="600" w:lineRule="auto"/>
              <w:jc w:val="distribute"/>
              <w:rPr>
                <w:rFonts w:eastAsiaTheme="minorHAnsi"/>
                <w:sz w:val="24"/>
                <w:szCs w:val="24"/>
              </w:rPr>
            </w:pPr>
            <w:r w:rsidRPr="00C807CE">
              <w:rPr>
                <w:rFonts w:eastAsiaTheme="minorHAnsi" w:hint="eastAsia"/>
                <w:sz w:val="24"/>
                <w:szCs w:val="24"/>
              </w:rPr>
              <w:t>補助率</w:t>
            </w:r>
          </w:p>
        </w:tc>
        <w:tc>
          <w:tcPr>
            <w:tcW w:w="6372" w:type="dxa"/>
            <w:vAlign w:val="center"/>
          </w:tcPr>
          <w:p w14:paraId="6E503E28" w14:textId="77777777" w:rsidR="00A21639" w:rsidRDefault="00A21639" w:rsidP="001569F6">
            <w:pPr>
              <w:spacing w:line="320" w:lineRule="exact"/>
              <w:rPr>
                <w:sz w:val="24"/>
                <w:szCs w:val="24"/>
              </w:rPr>
            </w:pPr>
            <w:r>
              <w:rPr>
                <w:rFonts w:hint="eastAsia"/>
                <w:sz w:val="24"/>
                <w:szCs w:val="24"/>
              </w:rPr>
              <w:t>補助対象経費の2／3以内</w:t>
            </w:r>
          </w:p>
          <w:p w14:paraId="176D80C4" w14:textId="1B1E1F43" w:rsidR="00A21639" w:rsidRDefault="00A21639" w:rsidP="001569F6">
            <w:pPr>
              <w:spacing w:line="320" w:lineRule="exact"/>
              <w:rPr>
                <w:sz w:val="24"/>
                <w:szCs w:val="24"/>
              </w:rPr>
            </w:pPr>
            <w:r>
              <w:rPr>
                <w:rFonts w:hint="eastAsia"/>
                <w:sz w:val="24"/>
                <w:szCs w:val="24"/>
              </w:rPr>
              <w:t>※ただし県内</w:t>
            </w:r>
            <w:r w:rsidR="001C7703">
              <w:rPr>
                <w:rFonts w:hint="eastAsia"/>
                <w:sz w:val="24"/>
                <w:szCs w:val="24"/>
              </w:rPr>
              <w:t>の</w:t>
            </w:r>
            <w:r>
              <w:rPr>
                <w:rFonts w:hint="eastAsia"/>
                <w:sz w:val="24"/>
                <w:szCs w:val="24"/>
              </w:rPr>
              <w:t>大学等・公設試の共同研究費については10/10以内</w:t>
            </w:r>
          </w:p>
        </w:tc>
      </w:tr>
      <w:tr w:rsidR="00A21639" w14:paraId="7B19187D" w14:textId="77777777" w:rsidTr="00F77F5C">
        <w:trPr>
          <w:trHeight w:val="1493"/>
          <w:jc w:val="center"/>
        </w:trPr>
        <w:tc>
          <w:tcPr>
            <w:tcW w:w="2122" w:type="dxa"/>
          </w:tcPr>
          <w:p w14:paraId="75866404" w14:textId="77777777" w:rsidR="00A21639" w:rsidRPr="00C807CE" w:rsidRDefault="00A21639" w:rsidP="001569F6">
            <w:pPr>
              <w:spacing w:line="720" w:lineRule="auto"/>
              <w:jc w:val="distribute"/>
              <w:rPr>
                <w:rFonts w:eastAsiaTheme="minorHAnsi"/>
                <w:sz w:val="24"/>
                <w:szCs w:val="24"/>
              </w:rPr>
            </w:pPr>
            <w:r w:rsidRPr="00C807CE">
              <w:rPr>
                <w:rFonts w:eastAsiaTheme="minorHAnsi" w:hint="eastAsia"/>
                <w:sz w:val="24"/>
                <w:szCs w:val="24"/>
              </w:rPr>
              <w:t>補助対象経費</w:t>
            </w:r>
          </w:p>
        </w:tc>
        <w:tc>
          <w:tcPr>
            <w:tcW w:w="6372" w:type="dxa"/>
            <w:vAlign w:val="center"/>
          </w:tcPr>
          <w:p w14:paraId="3FB7EC4F" w14:textId="77777777" w:rsidR="00A21639" w:rsidRDefault="00A21639" w:rsidP="001569F6">
            <w:pPr>
              <w:spacing w:line="320" w:lineRule="exact"/>
              <w:rPr>
                <w:sz w:val="24"/>
                <w:szCs w:val="24"/>
              </w:rPr>
            </w:pPr>
            <w:r>
              <w:rPr>
                <w:rFonts w:hint="eastAsia"/>
                <w:sz w:val="24"/>
                <w:szCs w:val="24"/>
              </w:rPr>
              <w:t>消耗品費、機械装置等備品・工具器具費、使用料、外注費、</w:t>
            </w:r>
          </w:p>
          <w:p w14:paraId="0DF15A1C" w14:textId="77777777" w:rsidR="00A21639" w:rsidRDefault="00A21639" w:rsidP="001569F6">
            <w:pPr>
              <w:spacing w:line="320" w:lineRule="exact"/>
              <w:rPr>
                <w:sz w:val="24"/>
                <w:szCs w:val="24"/>
              </w:rPr>
            </w:pPr>
            <w:r>
              <w:rPr>
                <w:rFonts w:hint="eastAsia"/>
                <w:sz w:val="24"/>
                <w:szCs w:val="24"/>
              </w:rPr>
              <w:t>通信運搬費、旅費、共同研究費（委託研究費を含む）</w:t>
            </w:r>
          </w:p>
          <w:p w14:paraId="7F1A9B9E" w14:textId="77777777" w:rsidR="00A21639" w:rsidRDefault="00A21639" w:rsidP="001569F6">
            <w:pPr>
              <w:spacing w:line="320" w:lineRule="exact"/>
              <w:rPr>
                <w:sz w:val="24"/>
                <w:szCs w:val="24"/>
              </w:rPr>
            </w:pPr>
            <w:r>
              <w:rPr>
                <w:rFonts w:hint="eastAsia"/>
                <w:sz w:val="24"/>
                <w:szCs w:val="24"/>
              </w:rPr>
              <w:t>※機械装置等備品・工具器具費、外注費、共同研究費は、</w:t>
            </w:r>
          </w:p>
          <w:p w14:paraId="3AD0E61F" w14:textId="77777777" w:rsidR="00A21639" w:rsidRDefault="00A21639" w:rsidP="001569F6">
            <w:pPr>
              <w:spacing w:line="320" w:lineRule="exact"/>
              <w:rPr>
                <w:sz w:val="24"/>
                <w:szCs w:val="24"/>
              </w:rPr>
            </w:pPr>
            <w:r>
              <w:rPr>
                <w:rFonts w:hint="eastAsia"/>
                <w:sz w:val="24"/>
                <w:szCs w:val="24"/>
              </w:rPr>
              <w:t>補助申請額のそれぞれ1/2以内とします。</w:t>
            </w:r>
          </w:p>
        </w:tc>
      </w:tr>
      <w:tr w:rsidR="00A21639" w14:paraId="49AA2BAB" w14:textId="77777777" w:rsidTr="001569F6">
        <w:trPr>
          <w:jc w:val="center"/>
        </w:trPr>
        <w:tc>
          <w:tcPr>
            <w:tcW w:w="2122" w:type="dxa"/>
          </w:tcPr>
          <w:p w14:paraId="0CCD5C77" w14:textId="77777777" w:rsidR="00A21639" w:rsidRPr="00C807CE" w:rsidRDefault="00A21639" w:rsidP="001569F6">
            <w:pPr>
              <w:jc w:val="distribute"/>
              <w:rPr>
                <w:rFonts w:eastAsiaTheme="minorHAnsi"/>
                <w:sz w:val="24"/>
                <w:szCs w:val="24"/>
              </w:rPr>
            </w:pPr>
            <w:r w:rsidRPr="00C807CE">
              <w:rPr>
                <w:rFonts w:eastAsiaTheme="minorHAnsi" w:hint="eastAsia"/>
                <w:sz w:val="24"/>
                <w:szCs w:val="24"/>
              </w:rPr>
              <w:t>補助対象期間</w:t>
            </w:r>
          </w:p>
        </w:tc>
        <w:tc>
          <w:tcPr>
            <w:tcW w:w="6372" w:type="dxa"/>
          </w:tcPr>
          <w:p w14:paraId="3D60E7D2" w14:textId="441796DB" w:rsidR="00A21639" w:rsidRDefault="00BF33D1" w:rsidP="001569F6">
            <w:pPr>
              <w:rPr>
                <w:sz w:val="24"/>
                <w:szCs w:val="24"/>
              </w:rPr>
            </w:pPr>
            <w:r w:rsidRPr="007223BF">
              <w:rPr>
                <w:rFonts w:hint="eastAsia"/>
                <w:color w:val="000000" w:themeColor="text1"/>
                <w:sz w:val="24"/>
                <w:szCs w:val="24"/>
              </w:rPr>
              <w:t>交付</w:t>
            </w:r>
            <w:r>
              <w:rPr>
                <w:rFonts w:hint="eastAsia"/>
                <w:sz w:val="24"/>
                <w:szCs w:val="24"/>
              </w:rPr>
              <w:t>決定日から当該年度の２月末日まで</w:t>
            </w:r>
          </w:p>
        </w:tc>
      </w:tr>
      <w:tr w:rsidR="00A21639" w14:paraId="34003600" w14:textId="77777777" w:rsidTr="00802F81">
        <w:trPr>
          <w:trHeight w:hRule="exact" w:val="1304"/>
          <w:jc w:val="center"/>
        </w:trPr>
        <w:tc>
          <w:tcPr>
            <w:tcW w:w="2122" w:type="dxa"/>
          </w:tcPr>
          <w:p w14:paraId="205A2ACC" w14:textId="77777777" w:rsidR="00A21639" w:rsidRPr="00C807CE" w:rsidRDefault="00A21639" w:rsidP="001569F6">
            <w:pPr>
              <w:jc w:val="distribute"/>
              <w:rPr>
                <w:rFonts w:eastAsiaTheme="minorHAnsi"/>
                <w:sz w:val="24"/>
                <w:szCs w:val="24"/>
              </w:rPr>
            </w:pPr>
            <w:r>
              <w:rPr>
                <w:rFonts w:eastAsiaTheme="minorHAnsi" w:hint="eastAsia"/>
                <w:sz w:val="24"/>
                <w:szCs w:val="24"/>
              </w:rPr>
              <w:t xml:space="preserve">募集期間　　</w:t>
            </w:r>
          </w:p>
        </w:tc>
        <w:tc>
          <w:tcPr>
            <w:tcW w:w="6372" w:type="dxa"/>
            <w:vAlign w:val="center"/>
          </w:tcPr>
          <w:p w14:paraId="7046A46D" w14:textId="77777777" w:rsidR="00802F81" w:rsidRPr="00802F81" w:rsidRDefault="00802F81" w:rsidP="001569F6">
            <w:pPr>
              <w:rPr>
                <w:color w:val="000000" w:themeColor="text1"/>
                <w:sz w:val="24"/>
                <w:szCs w:val="24"/>
              </w:rPr>
            </w:pPr>
            <w:r w:rsidRPr="00802F81">
              <w:rPr>
                <w:rFonts w:hint="eastAsia"/>
                <w:color w:val="000000" w:themeColor="text1"/>
                <w:sz w:val="24"/>
                <w:szCs w:val="24"/>
              </w:rPr>
              <w:t>令和</w:t>
            </w:r>
            <w:r w:rsidRPr="00802F81">
              <w:rPr>
                <w:color w:val="000000" w:themeColor="text1"/>
                <w:sz w:val="24"/>
                <w:szCs w:val="24"/>
              </w:rPr>
              <w:t>7年５月15日（木）から</w:t>
            </w:r>
            <w:r w:rsidRPr="00970611">
              <w:rPr>
                <w:color w:val="000000" w:themeColor="text1"/>
                <w:sz w:val="24"/>
                <w:szCs w:val="24"/>
                <w:u w:val="single"/>
              </w:rPr>
              <w:t>６月10日（火）</w:t>
            </w:r>
          </w:p>
          <w:p w14:paraId="3E288843" w14:textId="592F4B78" w:rsidR="00802F81" w:rsidRPr="00802F81" w:rsidRDefault="00802F81" w:rsidP="001569F6">
            <w:pPr>
              <w:rPr>
                <w:sz w:val="24"/>
                <w:szCs w:val="24"/>
              </w:rPr>
            </w:pPr>
            <w:r w:rsidRPr="00802F81">
              <w:rPr>
                <w:rFonts w:hint="eastAsia"/>
                <w:color w:val="EE0000"/>
                <w:sz w:val="24"/>
                <w:szCs w:val="24"/>
              </w:rPr>
              <w:t>＊募集期間を延長しました</w:t>
            </w:r>
            <w:r w:rsidR="00970611">
              <w:rPr>
                <w:rFonts w:hint="eastAsia"/>
                <w:color w:val="EE0000"/>
                <w:sz w:val="24"/>
                <w:szCs w:val="24"/>
              </w:rPr>
              <w:t>。</w:t>
            </w:r>
          </w:p>
        </w:tc>
      </w:tr>
      <w:tr w:rsidR="00A21639" w14:paraId="375FEC7B" w14:textId="77777777" w:rsidTr="001569F6">
        <w:trPr>
          <w:jc w:val="center"/>
        </w:trPr>
        <w:tc>
          <w:tcPr>
            <w:tcW w:w="2122" w:type="dxa"/>
          </w:tcPr>
          <w:p w14:paraId="072478AB" w14:textId="77777777" w:rsidR="00A21639" w:rsidRPr="00C807CE" w:rsidRDefault="00A21639" w:rsidP="001569F6">
            <w:pPr>
              <w:jc w:val="distribute"/>
              <w:rPr>
                <w:rFonts w:eastAsiaTheme="minorHAnsi"/>
                <w:sz w:val="24"/>
                <w:szCs w:val="24"/>
              </w:rPr>
            </w:pPr>
            <w:r w:rsidRPr="00C807CE">
              <w:rPr>
                <w:rFonts w:eastAsiaTheme="minorHAnsi" w:hint="eastAsia"/>
                <w:sz w:val="24"/>
                <w:szCs w:val="24"/>
              </w:rPr>
              <w:t>補助件数</w:t>
            </w:r>
          </w:p>
        </w:tc>
        <w:tc>
          <w:tcPr>
            <w:tcW w:w="6372" w:type="dxa"/>
          </w:tcPr>
          <w:p w14:paraId="1D35E35B" w14:textId="77777777" w:rsidR="00A21639" w:rsidRDefault="00A21639" w:rsidP="001569F6">
            <w:pPr>
              <w:rPr>
                <w:sz w:val="24"/>
                <w:szCs w:val="24"/>
              </w:rPr>
            </w:pPr>
            <w:r>
              <w:rPr>
                <w:rFonts w:hint="eastAsia"/>
                <w:sz w:val="24"/>
                <w:szCs w:val="24"/>
              </w:rPr>
              <w:t>2件</w:t>
            </w:r>
          </w:p>
        </w:tc>
      </w:tr>
    </w:tbl>
    <w:p w14:paraId="75FFFD07" w14:textId="77777777" w:rsidR="00A21639" w:rsidRDefault="00A21639" w:rsidP="00A21639">
      <w:pPr>
        <w:spacing w:line="320" w:lineRule="exact"/>
        <w:rPr>
          <w:sz w:val="24"/>
          <w:szCs w:val="24"/>
        </w:rPr>
      </w:pPr>
    </w:p>
    <w:p w14:paraId="789AE748" w14:textId="77777777" w:rsidR="00A21639" w:rsidRDefault="00A21639" w:rsidP="00A21639">
      <w:pPr>
        <w:spacing w:line="320" w:lineRule="exact"/>
        <w:rPr>
          <w:sz w:val="24"/>
          <w:szCs w:val="24"/>
        </w:rPr>
      </w:pPr>
    </w:p>
    <w:p w14:paraId="333463A6" w14:textId="77777777" w:rsidR="00BF33D1" w:rsidRPr="00496DE7" w:rsidRDefault="00BF33D1" w:rsidP="00BF33D1">
      <w:pPr>
        <w:spacing w:line="320" w:lineRule="exact"/>
        <w:rPr>
          <w:sz w:val="24"/>
          <w:szCs w:val="24"/>
        </w:rPr>
      </w:pPr>
      <w:r w:rsidRPr="00496DE7">
        <w:rPr>
          <w:sz w:val="24"/>
          <w:szCs w:val="24"/>
        </w:rPr>
        <w:t>◎</w:t>
      </w:r>
      <w:r>
        <w:rPr>
          <w:sz w:val="24"/>
          <w:szCs w:val="24"/>
        </w:rPr>
        <w:t xml:space="preserve"> </w:t>
      </w:r>
      <w:r w:rsidRPr="00931BDC">
        <w:rPr>
          <w:b/>
          <w:sz w:val="24"/>
          <w:szCs w:val="24"/>
          <w:u w:val="single"/>
        </w:rPr>
        <w:t>問い合わせ</w:t>
      </w:r>
      <w:r w:rsidRPr="00931BDC">
        <w:rPr>
          <w:rFonts w:hint="eastAsia"/>
          <w:b/>
          <w:sz w:val="24"/>
          <w:szCs w:val="24"/>
          <w:u w:val="single"/>
        </w:rPr>
        <w:t>・提出</w:t>
      </w:r>
      <w:r w:rsidRPr="00931BDC">
        <w:rPr>
          <w:b/>
          <w:sz w:val="24"/>
          <w:szCs w:val="24"/>
          <w:u w:val="single"/>
        </w:rPr>
        <w:t>先</w:t>
      </w:r>
    </w:p>
    <w:p w14:paraId="7BDF96D7" w14:textId="77777777" w:rsidR="00BF33D1" w:rsidRDefault="00BF33D1" w:rsidP="00BF33D1">
      <w:pPr>
        <w:spacing w:line="320" w:lineRule="exact"/>
        <w:rPr>
          <w:rFonts w:asciiTheme="majorEastAsia" w:eastAsiaTheme="majorEastAsia" w:hAnsiTheme="majorEastAsia"/>
          <w:sz w:val="24"/>
          <w:szCs w:val="24"/>
        </w:rPr>
      </w:pPr>
      <w:r>
        <w:rPr>
          <w:noProof/>
        </w:rPr>
        <w:drawing>
          <wp:anchor distT="0" distB="0" distL="114300" distR="114300" simplePos="0" relativeHeight="251662336" behindDoc="0" locked="0" layoutInCell="1" allowOverlap="1" wp14:anchorId="6EF4EBBE" wp14:editId="4504C08C">
            <wp:simplePos x="0" y="0"/>
            <wp:positionH relativeFrom="column">
              <wp:posOffset>4766641</wp:posOffset>
            </wp:positionH>
            <wp:positionV relativeFrom="paragraph">
              <wp:posOffset>4445</wp:posOffset>
            </wp:positionV>
            <wp:extent cx="1095375" cy="1095375"/>
            <wp:effectExtent l="0" t="0" r="9525" b="9525"/>
            <wp:wrapNone/>
            <wp:docPr id="1712472533" name="図 1712472533" descr="C:\Users\e.honbo\Documents\照会\20250214_北日本新聞広告\QR_343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honbo\Documents\照会\20250214_北日本新聞広告\QR_3435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DE7">
        <w:rPr>
          <w:rFonts w:asciiTheme="majorEastAsia" w:eastAsiaTheme="majorEastAsia" w:hAnsiTheme="majorEastAsia" w:hint="eastAsia"/>
          <w:sz w:val="24"/>
          <w:szCs w:val="24"/>
        </w:rPr>
        <w:t>公益財団法人富山県新世紀産業機構</w:t>
      </w:r>
      <w:r>
        <w:rPr>
          <w:rFonts w:asciiTheme="majorEastAsia" w:eastAsiaTheme="majorEastAsia" w:hAnsiTheme="majorEastAsia" w:hint="eastAsia"/>
          <w:sz w:val="24"/>
          <w:szCs w:val="24"/>
        </w:rPr>
        <w:t xml:space="preserve"> </w:t>
      </w:r>
      <w:r w:rsidRPr="00496DE7">
        <w:rPr>
          <w:rFonts w:asciiTheme="majorEastAsia" w:eastAsiaTheme="majorEastAsia" w:hAnsiTheme="majorEastAsia" w:hint="eastAsia"/>
          <w:sz w:val="24"/>
          <w:szCs w:val="24"/>
        </w:rPr>
        <w:t>イノベーション推進センター</w:t>
      </w:r>
      <w:r>
        <w:rPr>
          <w:rFonts w:asciiTheme="majorEastAsia" w:eastAsiaTheme="majorEastAsia" w:hAnsiTheme="majorEastAsia" w:hint="eastAsia"/>
          <w:sz w:val="24"/>
          <w:szCs w:val="24"/>
        </w:rPr>
        <w:t xml:space="preserve">　</w:t>
      </w:r>
    </w:p>
    <w:p w14:paraId="4BAAB782" w14:textId="77777777" w:rsidR="00BF33D1" w:rsidRPr="00496DE7" w:rsidRDefault="00BF33D1" w:rsidP="00BF33D1">
      <w:pPr>
        <w:spacing w:line="320" w:lineRule="exact"/>
        <w:rPr>
          <w:rFonts w:asciiTheme="majorEastAsia" w:eastAsiaTheme="majorEastAsia" w:hAnsiTheme="majorEastAsia"/>
          <w:sz w:val="24"/>
          <w:szCs w:val="24"/>
        </w:rPr>
      </w:pPr>
      <w:r w:rsidRPr="00496DE7">
        <w:rPr>
          <w:rFonts w:asciiTheme="majorEastAsia" w:eastAsiaTheme="majorEastAsia" w:hAnsiTheme="majorEastAsia" w:hint="eastAsia"/>
          <w:sz w:val="24"/>
          <w:szCs w:val="24"/>
        </w:rPr>
        <w:t>アルミコンソーシアム担当</w:t>
      </w:r>
    </w:p>
    <w:p w14:paraId="6F4EC460" w14:textId="77777777" w:rsidR="00BF33D1" w:rsidRDefault="00BF33D1" w:rsidP="00BF33D1">
      <w:pPr>
        <w:spacing w:line="320" w:lineRule="exact"/>
        <w:rPr>
          <w:rFonts w:asciiTheme="majorEastAsia" w:eastAsiaTheme="majorEastAsia" w:hAnsiTheme="majorEastAsia"/>
          <w:sz w:val="24"/>
          <w:szCs w:val="24"/>
        </w:rPr>
      </w:pPr>
      <w:r w:rsidRPr="00496DE7">
        <w:rPr>
          <w:rFonts w:asciiTheme="majorEastAsia" w:eastAsiaTheme="majorEastAsia" w:hAnsiTheme="majorEastAsia" w:hint="eastAsia"/>
          <w:sz w:val="24"/>
          <w:szCs w:val="24"/>
        </w:rPr>
        <w:t>〒</w:t>
      </w:r>
      <w:r w:rsidRPr="00496DE7">
        <w:rPr>
          <w:rFonts w:ascii="Segoe UI" w:eastAsiaTheme="majorEastAsia" w:hAnsi="Segoe UI" w:cs="Segoe UI"/>
          <w:sz w:val="24"/>
          <w:szCs w:val="24"/>
        </w:rPr>
        <w:t>933-0981</w:t>
      </w:r>
      <w:r w:rsidRPr="00496DE7">
        <w:rPr>
          <w:rFonts w:asciiTheme="majorEastAsia" w:eastAsiaTheme="majorEastAsia" w:hAnsiTheme="majorEastAsia" w:hint="eastAsia"/>
          <w:sz w:val="24"/>
          <w:szCs w:val="24"/>
        </w:rPr>
        <w:t xml:space="preserve"> 高岡市二上町150番地　</w:t>
      </w:r>
    </w:p>
    <w:p w14:paraId="3BD08206" w14:textId="77777777" w:rsidR="00BF33D1" w:rsidRPr="00496DE7" w:rsidRDefault="00BF33D1" w:rsidP="00BF33D1">
      <w:pPr>
        <w:spacing w:line="320" w:lineRule="exact"/>
        <w:rPr>
          <w:rFonts w:asciiTheme="majorEastAsia" w:eastAsiaTheme="majorEastAsia" w:hAnsiTheme="majorEastAsia"/>
          <w:sz w:val="24"/>
          <w:szCs w:val="24"/>
        </w:rPr>
      </w:pPr>
      <w:r w:rsidRPr="00496DE7">
        <w:rPr>
          <w:rFonts w:asciiTheme="majorEastAsia" w:eastAsiaTheme="majorEastAsia" w:hAnsiTheme="majorEastAsia" w:hint="eastAsia"/>
          <w:sz w:val="24"/>
          <w:szCs w:val="24"/>
        </w:rPr>
        <w:t>富山県産業技術研究開発センター 技術開発館</w:t>
      </w:r>
      <w:r w:rsidRPr="00496DE7">
        <w:rPr>
          <w:rFonts w:ascii="Segoe UI" w:eastAsiaTheme="majorEastAsia" w:hAnsi="Segoe UI" w:cs="Segoe UI"/>
          <w:sz w:val="24"/>
          <w:szCs w:val="24"/>
        </w:rPr>
        <w:t>２</w:t>
      </w:r>
      <w:r w:rsidRPr="00496DE7">
        <w:rPr>
          <w:rFonts w:asciiTheme="majorEastAsia" w:eastAsiaTheme="majorEastAsia" w:hAnsiTheme="majorEastAsia" w:hint="eastAsia"/>
          <w:sz w:val="24"/>
          <w:szCs w:val="24"/>
        </w:rPr>
        <w:t>階</w:t>
      </w:r>
    </w:p>
    <w:p w14:paraId="4918F06D" w14:textId="77777777" w:rsidR="00BF33D1" w:rsidRPr="00496DE7" w:rsidRDefault="00BF33D1" w:rsidP="00BF33D1">
      <w:pPr>
        <w:spacing w:line="320" w:lineRule="exact"/>
        <w:rPr>
          <w:rFonts w:ascii="Segoe UI" w:hAnsi="Segoe UI" w:cs="Segoe UI"/>
          <w:sz w:val="24"/>
          <w:szCs w:val="24"/>
        </w:rPr>
      </w:pPr>
      <w:r w:rsidRPr="00496DE7">
        <w:rPr>
          <w:rFonts w:ascii="Segoe UI" w:hAnsi="Segoe UI" w:cs="Segoe UI"/>
          <w:sz w:val="24"/>
          <w:szCs w:val="24"/>
        </w:rPr>
        <w:t>TEL:0766-24-7113</w:t>
      </w:r>
      <w:r w:rsidRPr="00496DE7">
        <w:rPr>
          <w:rFonts w:ascii="Segoe UI" w:hAnsi="Segoe UI" w:cs="Segoe UI"/>
          <w:sz w:val="24"/>
          <w:szCs w:val="24"/>
        </w:rPr>
        <w:t xml:space="preserve">　　　　</w:t>
      </w:r>
      <w:r w:rsidRPr="00496DE7">
        <w:rPr>
          <w:rFonts w:ascii="Segoe UI" w:hAnsi="Segoe UI" w:cs="Segoe UI"/>
          <w:sz w:val="24"/>
          <w:szCs w:val="24"/>
        </w:rPr>
        <w:t>FAX:0766-24-7122</w:t>
      </w:r>
    </w:p>
    <w:p w14:paraId="5CCC740A" w14:textId="77777777" w:rsidR="00BF33D1" w:rsidRDefault="00BF33D1" w:rsidP="00BF33D1">
      <w:pPr>
        <w:spacing w:line="320" w:lineRule="exact"/>
        <w:rPr>
          <w:rFonts w:ascii="Segoe UI" w:hAnsi="Segoe UI" w:cs="Segoe UI"/>
          <w:sz w:val="24"/>
          <w:szCs w:val="24"/>
        </w:rPr>
      </w:pPr>
      <w:r w:rsidRPr="00496DE7">
        <w:rPr>
          <w:rFonts w:ascii="Segoe UI" w:hAnsi="Segoe UI" w:cs="Segoe UI"/>
          <w:sz w:val="24"/>
          <w:szCs w:val="24"/>
        </w:rPr>
        <w:t>E-mail</w:t>
      </w:r>
      <w:r w:rsidRPr="00496DE7">
        <w:rPr>
          <w:rFonts w:ascii="Segoe UI" w:hAnsi="Segoe UI" w:cs="Segoe UI"/>
          <w:sz w:val="24"/>
          <w:szCs w:val="24"/>
        </w:rPr>
        <w:t>：</w:t>
      </w:r>
      <w:hyperlink r:id="rId8" w:history="1">
        <w:r w:rsidRPr="00425F9F">
          <w:rPr>
            <w:rStyle w:val="a8"/>
            <w:rFonts w:ascii="Segoe UI" w:hAnsi="Segoe UI" w:cs="Segoe UI" w:hint="eastAsia"/>
            <w:sz w:val="24"/>
            <w:szCs w:val="24"/>
          </w:rPr>
          <w:t>alumi@tonio.or.jp</w:t>
        </w:r>
      </w:hyperlink>
    </w:p>
    <w:p w14:paraId="2A8C99CC" w14:textId="77777777" w:rsidR="00BF33D1" w:rsidRPr="00496DE7" w:rsidRDefault="00BF33D1" w:rsidP="00BF33D1">
      <w:pPr>
        <w:spacing w:line="320" w:lineRule="exact"/>
      </w:pPr>
      <w:r w:rsidRPr="00496DE7">
        <w:rPr>
          <w:rFonts w:asciiTheme="majorHAnsi" w:eastAsiaTheme="majorHAnsi" w:hAnsiTheme="majorHAnsi" w:hint="eastAsia"/>
        </w:rPr>
        <w:t>応募様式については、</w:t>
      </w:r>
      <w:r>
        <w:rPr>
          <w:rFonts w:asciiTheme="majorHAnsi" w:eastAsiaTheme="majorHAnsi" w:hAnsiTheme="majorHAnsi" w:hint="eastAsia"/>
        </w:rPr>
        <w:t>こちらの</w:t>
      </w:r>
      <w:r w:rsidRPr="00496DE7">
        <w:rPr>
          <w:rFonts w:asciiTheme="majorHAnsi" w:eastAsiaTheme="majorHAnsi" w:hAnsiTheme="majorHAnsi" w:hint="eastAsia"/>
        </w:rPr>
        <w:t>URLに掲載する予定です。</w:t>
      </w:r>
      <w:r w:rsidRPr="00496DE7">
        <w:rPr>
          <w:rFonts w:ascii="Segoe UI" w:hAnsi="Segoe UI" w:cs="Segoe UI"/>
        </w:rPr>
        <w:t>URL:https://www.tonio.or.jp/alumi</w:t>
      </w:r>
    </w:p>
    <w:p w14:paraId="2EBAAC22" w14:textId="3E17D432" w:rsidR="001F350A" w:rsidRPr="00BF33D1" w:rsidRDefault="001F350A" w:rsidP="00BF33D1">
      <w:pPr>
        <w:spacing w:line="320" w:lineRule="exact"/>
      </w:pPr>
    </w:p>
    <w:sectPr w:rsidR="001F350A" w:rsidRPr="00BF33D1" w:rsidSect="00B51182">
      <w:pgSz w:w="11906" w:h="16838" w:code="9"/>
      <w:pgMar w:top="1134" w:right="1077" w:bottom="567"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FD052" w14:textId="77777777" w:rsidR="00743619" w:rsidRDefault="00743619" w:rsidP="00FF23BE">
      <w:r>
        <w:separator/>
      </w:r>
    </w:p>
  </w:endnote>
  <w:endnote w:type="continuationSeparator" w:id="0">
    <w:p w14:paraId="09230183" w14:textId="77777777" w:rsidR="00743619" w:rsidRDefault="00743619" w:rsidP="00FF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JP Thin">
    <w:altName w:val="Noto Sans JP Thin"/>
    <w:panose1 w:val="020B0200000000000000"/>
    <w:charset w:val="80"/>
    <w:family w:val="modern"/>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6FC41" w14:textId="77777777" w:rsidR="00743619" w:rsidRDefault="00743619" w:rsidP="00FF23BE">
      <w:r>
        <w:separator/>
      </w:r>
    </w:p>
  </w:footnote>
  <w:footnote w:type="continuationSeparator" w:id="0">
    <w:p w14:paraId="7DDC2A17" w14:textId="77777777" w:rsidR="00743619" w:rsidRDefault="00743619" w:rsidP="00FF2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F32B9"/>
    <w:multiLevelType w:val="hybridMultilevel"/>
    <w:tmpl w:val="DE02A004"/>
    <w:lvl w:ilvl="0" w:tplc="FA9AA14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44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5F"/>
    <w:rsid w:val="00027630"/>
    <w:rsid w:val="000970FC"/>
    <w:rsid w:val="000A2D53"/>
    <w:rsid w:val="000D7882"/>
    <w:rsid w:val="00121F43"/>
    <w:rsid w:val="00157BB3"/>
    <w:rsid w:val="001661B4"/>
    <w:rsid w:val="00174AC5"/>
    <w:rsid w:val="00181A82"/>
    <w:rsid w:val="001B1828"/>
    <w:rsid w:val="001C02C4"/>
    <w:rsid w:val="001C7703"/>
    <w:rsid w:val="001E010B"/>
    <w:rsid w:val="001F350A"/>
    <w:rsid w:val="001F766B"/>
    <w:rsid w:val="0024713D"/>
    <w:rsid w:val="00251C63"/>
    <w:rsid w:val="00281EFB"/>
    <w:rsid w:val="002834A7"/>
    <w:rsid w:val="002E563F"/>
    <w:rsid w:val="00304AE8"/>
    <w:rsid w:val="003111F6"/>
    <w:rsid w:val="00357866"/>
    <w:rsid w:val="00380094"/>
    <w:rsid w:val="00390BB4"/>
    <w:rsid w:val="00391017"/>
    <w:rsid w:val="003E53C6"/>
    <w:rsid w:val="004462A3"/>
    <w:rsid w:val="00452D35"/>
    <w:rsid w:val="0045594E"/>
    <w:rsid w:val="0049425F"/>
    <w:rsid w:val="004969C5"/>
    <w:rsid w:val="00496DE7"/>
    <w:rsid w:val="004D7212"/>
    <w:rsid w:val="004D77C7"/>
    <w:rsid w:val="004E11E0"/>
    <w:rsid w:val="004F59B5"/>
    <w:rsid w:val="00510CBF"/>
    <w:rsid w:val="00524855"/>
    <w:rsid w:val="00540E6A"/>
    <w:rsid w:val="005816C4"/>
    <w:rsid w:val="005D11C5"/>
    <w:rsid w:val="00661CF4"/>
    <w:rsid w:val="00687785"/>
    <w:rsid w:val="006D16C8"/>
    <w:rsid w:val="00711452"/>
    <w:rsid w:val="007223BF"/>
    <w:rsid w:val="00743619"/>
    <w:rsid w:val="00756454"/>
    <w:rsid w:val="00762A11"/>
    <w:rsid w:val="00766886"/>
    <w:rsid w:val="007D48ED"/>
    <w:rsid w:val="00802F81"/>
    <w:rsid w:val="0081313C"/>
    <w:rsid w:val="008239E1"/>
    <w:rsid w:val="008407FA"/>
    <w:rsid w:val="00847CBF"/>
    <w:rsid w:val="00853C2A"/>
    <w:rsid w:val="00867F6B"/>
    <w:rsid w:val="008755FC"/>
    <w:rsid w:val="008970EE"/>
    <w:rsid w:val="008C2696"/>
    <w:rsid w:val="008D4D6F"/>
    <w:rsid w:val="008E2DB5"/>
    <w:rsid w:val="00931BDC"/>
    <w:rsid w:val="009467C2"/>
    <w:rsid w:val="00952918"/>
    <w:rsid w:val="00970611"/>
    <w:rsid w:val="009B0102"/>
    <w:rsid w:val="009C7D48"/>
    <w:rsid w:val="009D03EC"/>
    <w:rsid w:val="009E0A4C"/>
    <w:rsid w:val="00A13D9F"/>
    <w:rsid w:val="00A21639"/>
    <w:rsid w:val="00A27CC1"/>
    <w:rsid w:val="00A507A2"/>
    <w:rsid w:val="00A74299"/>
    <w:rsid w:val="00B01577"/>
    <w:rsid w:val="00B02EB2"/>
    <w:rsid w:val="00B2306E"/>
    <w:rsid w:val="00B41F54"/>
    <w:rsid w:val="00B51182"/>
    <w:rsid w:val="00BD38B3"/>
    <w:rsid w:val="00BF33D1"/>
    <w:rsid w:val="00C148F3"/>
    <w:rsid w:val="00C40B25"/>
    <w:rsid w:val="00C46BB2"/>
    <w:rsid w:val="00C807CE"/>
    <w:rsid w:val="00C85EEE"/>
    <w:rsid w:val="00C95BA4"/>
    <w:rsid w:val="00CA3FB8"/>
    <w:rsid w:val="00CC265A"/>
    <w:rsid w:val="00CE7F88"/>
    <w:rsid w:val="00D06CC8"/>
    <w:rsid w:val="00D10E1E"/>
    <w:rsid w:val="00D11564"/>
    <w:rsid w:val="00D241E1"/>
    <w:rsid w:val="00D31CC3"/>
    <w:rsid w:val="00D36A18"/>
    <w:rsid w:val="00D46800"/>
    <w:rsid w:val="00D75D41"/>
    <w:rsid w:val="00D94E8E"/>
    <w:rsid w:val="00DA598A"/>
    <w:rsid w:val="00E22129"/>
    <w:rsid w:val="00E57028"/>
    <w:rsid w:val="00E63126"/>
    <w:rsid w:val="00E76163"/>
    <w:rsid w:val="00E80E09"/>
    <w:rsid w:val="00E92FDE"/>
    <w:rsid w:val="00EA270C"/>
    <w:rsid w:val="00EA6778"/>
    <w:rsid w:val="00EF392E"/>
    <w:rsid w:val="00F10DCE"/>
    <w:rsid w:val="00F77F5C"/>
    <w:rsid w:val="00F81A76"/>
    <w:rsid w:val="00FA4F04"/>
    <w:rsid w:val="00FA6E53"/>
    <w:rsid w:val="00FB02AE"/>
    <w:rsid w:val="00FB4ED3"/>
    <w:rsid w:val="00FC4DB4"/>
    <w:rsid w:val="00FF2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1255F2F"/>
  <w15:docId w15:val="{4220C61B-0669-42FE-8C55-7F6B97BD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425F"/>
    <w:pPr>
      <w:widowControl w:val="0"/>
      <w:autoSpaceDE w:val="0"/>
      <w:autoSpaceDN w:val="0"/>
      <w:adjustRightInd w:val="0"/>
    </w:pPr>
    <w:rPr>
      <w:rFonts w:ascii="Noto Sans JP Thin" w:eastAsia="Noto Sans JP Thin" w:cs="Noto Sans JP Thin"/>
      <w:color w:val="000000"/>
      <w:kern w:val="0"/>
      <w:sz w:val="24"/>
      <w:szCs w:val="24"/>
    </w:rPr>
  </w:style>
  <w:style w:type="paragraph" w:styleId="a3">
    <w:name w:val="footer"/>
    <w:basedOn w:val="a"/>
    <w:link w:val="a4"/>
    <w:uiPriority w:val="99"/>
    <w:rsid w:val="0049425F"/>
    <w:pPr>
      <w:tabs>
        <w:tab w:val="center" w:pos="4252"/>
        <w:tab w:val="right" w:pos="8504"/>
      </w:tabs>
      <w:snapToGrid w:val="0"/>
    </w:pPr>
    <w:rPr>
      <w:rFonts w:ascii="Century" w:eastAsia="ＭＳ 明朝" w:hAnsi="Century" w:cs="Times New Roman"/>
      <w:sz w:val="24"/>
      <w:szCs w:val="20"/>
    </w:rPr>
  </w:style>
  <w:style w:type="character" w:customStyle="1" w:styleId="a4">
    <w:name w:val="フッター (文字)"/>
    <w:basedOn w:val="a0"/>
    <w:link w:val="a3"/>
    <w:uiPriority w:val="99"/>
    <w:rsid w:val="0049425F"/>
    <w:rPr>
      <w:rFonts w:ascii="Century" w:eastAsia="ＭＳ 明朝" w:hAnsi="Century" w:cs="Times New Roman"/>
      <w:sz w:val="24"/>
      <w:szCs w:val="20"/>
    </w:rPr>
  </w:style>
  <w:style w:type="table" w:styleId="a5">
    <w:name w:val="Table Grid"/>
    <w:basedOn w:val="a1"/>
    <w:uiPriority w:val="39"/>
    <w:rsid w:val="0049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23BE"/>
    <w:pPr>
      <w:tabs>
        <w:tab w:val="center" w:pos="4252"/>
        <w:tab w:val="right" w:pos="8504"/>
      </w:tabs>
      <w:snapToGrid w:val="0"/>
    </w:pPr>
  </w:style>
  <w:style w:type="character" w:customStyle="1" w:styleId="a7">
    <w:name w:val="ヘッダー (文字)"/>
    <w:basedOn w:val="a0"/>
    <w:link w:val="a6"/>
    <w:uiPriority w:val="99"/>
    <w:rsid w:val="00FF23BE"/>
  </w:style>
  <w:style w:type="character" w:styleId="a8">
    <w:name w:val="Hyperlink"/>
    <w:basedOn w:val="a0"/>
    <w:uiPriority w:val="99"/>
    <w:unhideWhenUsed/>
    <w:rsid w:val="00D46800"/>
    <w:rPr>
      <w:color w:val="0563C1" w:themeColor="hyperlink"/>
      <w:u w:val="single"/>
    </w:rPr>
  </w:style>
  <w:style w:type="character" w:styleId="a9">
    <w:name w:val="Unresolved Mention"/>
    <w:basedOn w:val="a0"/>
    <w:uiPriority w:val="99"/>
    <w:semiHidden/>
    <w:unhideWhenUsed/>
    <w:rsid w:val="001F350A"/>
    <w:rPr>
      <w:color w:val="605E5C"/>
      <w:shd w:val="clear" w:color="auto" w:fill="E1DFDD"/>
    </w:rPr>
  </w:style>
  <w:style w:type="paragraph" w:styleId="aa">
    <w:name w:val="List Paragraph"/>
    <w:basedOn w:val="a"/>
    <w:uiPriority w:val="34"/>
    <w:qFormat/>
    <w:rsid w:val="003E53C6"/>
    <w:pPr>
      <w:ind w:leftChars="400" w:left="840"/>
    </w:pPr>
  </w:style>
  <w:style w:type="paragraph" w:styleId="Web">
    <w:name w:val="Normal (Web)"/>
    <w:basedOn w:val="a"/>
    <w:uiPriority w:val="99"/>
    <w:unhideWhenUsed/>
    <w:rsid w:val="001661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5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mi@tonio.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本保 栄治</dc:creator>
  <cp:lastModifiedBy>水口 加寿美</cp:lastModifiedBy>
  <cp:revision>34</cp:revision>
  <cp:lastPrinted>2025-04-30T04:51:00Z</cp:lastPrinted>
  <dcterms:created xsi:type="dcterms:W3CDTF">2025-04-18T06:05:00Z</dcterms:created>
  <dcterms:modified xsi:type="dcterms:W3CDTF">2025-05-21T06:15:00Z</dcterms:modified>
</cp:coreProperties>
</file>